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05" w:rsidRPr="00EA3805" w:rsidRDefault="00EA3805" w:rsidP="00EA3805">
      <w:pPr>
        <w:ind w:left="360" w:hanging="360"/>
        <w:jc w:val="center"/>
        <w:rPr>
          <w:b/>
          <w:sz w:val="20"/>
          <w:szCs w:val="22"/>
        </w:rPr>
      </w:pPr>
      <w:r w:rsidRPr="00EA3805">
        <w:rPr>
          <w:b/>
          <w:sz w:val="20"/>
          <w:szCs w:val="22"/>
        </w:rPr>
        <w:t>INFORMACJA Z PLANU ZAGOSPODAROWANIA PRZESTRZENNEGO</w:t>
      </w:r>
    </w:p>
    <w:p w:rsidR="00EA3805" w:rsidRDefault="00EA3805" w:rsidP="00EA3805">
      <w:pPr>
        <w:ind w:left="360" w:hanging="360"/>
        <w:jc w:val="both"/>
        <w:rPr>
          <w:sz w:val="20"/>
          <w:szCs w:val="22"/>
        </w:rPr>
      </w:pPr>
    </w:p>
    <w:p w:rsidR="00EA3805" w:rsidRDefault="00EA3805" w:rsidP="00EA3805">
      <w:pPr>
        <w:ind w:left="360" w:hanging="360"/>
        <w:jc w:val="both"/>
        <w:rPr>
          <w:sz w:val="20"/>
        </w:rPr>
      </w:pPr>
      <w:r>
        <w:rPr>
          <w:sz w:val="20"/>
          <w:szCs w:val="22"/>
        </w:rPr>
        <w:t xml:space="preserve">1.   </w:t>
      </w:r>
      <w:r>
        <w:rPr>
          <w:b/>
          <w:bCs/>
          <w:sz w:val="20"/>
          <w:szCs w:val="22"/>
        </w:rPr>
        <w:t xml:space="preserve">Dla terenów oznaczonych na rysunku planu: </w:t>
      </w:r>
      <w:r>
        <w:rPr>
          <w:b/>
          <w:bCs/>
          <w:sz w:val="20"/>
          <w:szCs w:val="22"/>
        </w:rPr>
        <w:fldChar w:fldCharType="begin"/>
      </w:r>
      <w:r>
        <w:rPr>
          <w:b/>
          <w:bCs/>
          <w:sz w:val="20"/>
          <w:szCs w:val="22"/>
        </w:rPr>
        <w:instrText xml:space="preserve"> MACROBUTTON OtworzJeden </w:instrText>
      </w:r>
      <w:r>
        <w:rPr>
          <w:b/>
          <w:bCs/>
          <w:sz w:val="20"/>
          <w:szCs w:val="22"/>
        </w:rPr>
        <w:fldChar w:fldCharType="begin"/>
      </w:r>
      <w:r>
        <w:rPr>
          <w:b/>
          <w:bCs/>
          <w:sz w:val="20"/>
          <w:szCs w:val="22"/>
        </w:rPr>
        <w:instrText xml:space="preserve"> QUOTE "A1.KSU-U" \* MERGEFORMAT </w:instrText>
      </w:r>
      <w:r>
        <w:rPr>
          <w:b/>
          <w:bCs/>
          <w:sz w:val="20"/>
          <w:szCs w:val="22"/>
        </w:rPr>
        <w:fldChar w:fldCharType="separate"/>
      </w:r>
      <w:r>
        <w:rPr>
          <w:b/>
          <w:bCs/>
          <w:sz w:val="20"/>
          <w:szCs w:val="22"/>
        </w:rPr>
        <w:instrText>A1.KSU-U</w:instrText>
      </w:r>
      <w:r>
        <w:rPr>
          <w:b/>
          <w:bCs/>
          <w:sz w:val="20"/>
          <w:szCs w:val="22"/>
        </w:rPr>
        <w:fldChar w:fldCharType="end"/>
      </w:r>
      <w:r>
        <w:rPr>
          <w:b/>
          <w:bCs/>
          <w:sz w:val="20"/>
          <w:szCs w:val="22"/>
        </w:rPr>
        <w:fldChar w:fldCharType="end"/>
      </w:r>
      <w:r>
        <w:rPr>
          <w:b/>
          <w:bCs/>
          <w:sz w:val="20"/>
          <w:szCs w:val="22"/>
        </w:rPr>
        <w:t xml:space="preserve">, </w:t>
      </w:r>
      <w:bookmarkStart w:id="0" w:name="_GoBack"/>
      <w:bookmarkEnd w:id="0"/>
      <w:r>
        <w:rPr>
          <w:b/>
          <w:bCs/>
          <w:sz w:val="20"/>
          <w:szCs w:val="22"/>
        </w:rPr>
        <w:t>ustala się:</w:t>
      </w:r>
    </w:p>
    <w:p w:rsidR="00EA3805" w:rsidRDefault="00EA3805" w:rsidP="00EA3805">
      <w:pPr>
        <w:ind w:left="720" w:hanging="360"/>
        <w:jc w:val="both"/>
        <w:rPr>
          <w:sz w:val="20"/>
        </w:rPr>
      </w:pPr>
      <w:r>
        <w:rPr>
          <w:sz w:val="20"/>
        </w:rPr>
        <w:t xml:space="preserve">1)   przeznaczenie podstawowe: </w:t>
      </w:r>
    </w:p>
    <w:p w:rsidR="00EA3805" w:rsidRDefault="00EA3805" w:rsidP="00EA3805">
      <w:pPr>
        <w:ind w:left="1080" w:hanging="360"/>
        <w:jc w:val="both"/>
        <w:rPr>
          <w:sz w:val="20"/>
        </w:rPr>
      </w:pPr>
      <w:r>
        <w:rPr>
          <w:sz w:val="20"/>
        </w:rPr>
        <w:t>a)   usługi w zakresie obsługi komunikacji samochodowej, w tym stacje paliw;</w:t>
      </w:r>
    </w:p>
    <w:p w:rsidR="00EA3805" w:rsidRDefault="00EA3805" w:rsidP="00EA3805">
      <w:pPr>
        <w:ind w:left="1080" w:hanging="360"/>
        <w:jc w:val="both"/>
        <w:rPr>
          <w:sz w:val="20"/>
        </w:rPr>
      </w:pPr>
      <w:r>
        <w:rPr>
          <w:sz w:val="20"/>
        </w:rPr>
        <w:t>b) usługi nieuciążliwe, z wykluczeniem: usług związanych ze składowaniem i przetwarzaniem odpadów oraz skupu złomu;</w:t>
      </w:r>
    </w:p>
    <w:p w:rsidR="00EA3805" w:rsidRDefault="00EA3805" w:rsidP="00EA3805">
      <w:pPr>
        <w:ind w:left="1080" w:hanging="360"/>
        <w:jc w:val="both"/>
        <w:rPr>
          <w:sz w:val="20"/>
        </w:rPr>
      </w:pPr>
      <w:r>
        <w:rPr>
          <w:sz w:val="20"/>
        </w:rPr>
        <w:t>c)   parking powierzchniowy;</w:t>
      </w:r>
    </w:p>
    <w:p w:rsidR="00EA3805" w:rsidRDefault="00EA3805" w:rsidP="00EA3805">
      <w:pPr>
        <w:ind w:left="720" w:hanging="360"/>
        <w:jc w:val="both"/>
        <w:rPr>
          <w:sz w:val="20"/>
        </w:rPr>
      </w:pPr>
      <w:r>
        <w:rPr>
          <w:sz w:val="20"/>
        </w:rPr>
        <w:t>2)   przeznaczenie towarzyszące:</w:t>
      </w:r>
    </w:p>
    <w:p w:rsidR="00EA3805" w:rsidRDefault="00EA3805" w:rsidP="00EA3805">
      <w:pPr>
        <w:ind w:left="720"/>
        <w:jc w:val="both"/>
        <w:rPr>
          <w:sz w:val="20"/>
        </w:rPr>
      </w:pPr>
      <w:r>
        <w:rPr>
          <w:sz w:val="20"/>
        </w:rPr>
        <w:t>a)   budynki gospodarcze;</w:t>
      </w:r>
    </w:p>
    <w:p w:rsidR="00EA3805" w:rsidRDefault="00EA3805" w:rsidP="00EA3805">
      <w:pPr>
        <w:ind w:left="720"/>
        <w:jc w:val="both"/>
        <w:rPr>
          <w:sz w:val="20"/>
        </w:rPr>
      </w:pPr>
      <w:r>
        <w:rPr>
          <w:sz w:val="20"/>
        </w:rPr>
        <w:t>b)   obiekty małej architektury;</w:t>
      </w:r>
    </w:p>
    <w:p w:rsidR="00EA3805" w:rsidRDefault="00EA3805" w:rsidP="00EA3805">
      <w:pPr>
        <w:ind w:left="720"/>
        <w:jc w:val="both"/>
        <w:rPr>
          <w:sz w:val="20"/>
        </w:rPr>
      </w:pPr>
      <w:r>
        <w:rPr>
          <w:sz w:val="20"/>
        </w:rPr>
        <w:t>c)   dojazdy, miejsca postojowe i garaże przewidziane do obsługi terenów: KSU-U;</w:t>
      </w:r>
    </w:p>
    <w:p w:rsidR="00EA3805" w:rsidRDefault="00EA3805" w:rsidP="00EA3805">
      <w:pPr>
        <w:ind w:left="720"/>
        <w:jc w:val="both"/>
        <w:rPr>
          <w:sz w:val="20"/>
        </w:rPr>
      </w:pPr>
      <w:r>
        <w:rPr>
          <w:sz w:val="20"/>
        </w:rPr>
        <w:t>d)   sieci i urządzenia infrastruktury technicznej;</w:t>
      </w:r>
    </w:p>
    <w:p w:rsidR="00EA3805" w:rsidRDefault="00EA3805" w:rsidP="00EA3805">
      <w:pPr>
        <w:ind w:left="720"/>
        <w:jc w:val="both"/>
        <w:rPr>
          <w:sz w:val="20"/>
        </w:rPr>
      </w:pPr>
      <w:r>
        <w:rPr>
          <w:sz w:val="20"/>
        </w:rPr>
        <w:t>e)   zieleń urządzona.</w:t>
      </w:r>
    </w:p>
    <w:p w:rsidR="00EA3805" w:rsidRDefault="00EA3805" w:rsidP="00EA3805">
      <w:pPr>
        <w:ind w:left="360" w:hanging="360"/>
        <w:jc w:val="both"/>
        <w:rPr>
          <w:sz w:val="20"/>
        </w:rPr>
      </w:pPr>
      <w:r>
        <w:rPr>
          <w:sz w:val="20"/>
          <w:szCs w:val="22"/>
        </w:rPr>
        <w:t xml:space="preserve">2.  </w:t>
      </w:r>
      <w:r>
        <w:rPr>
          <w:b/>
          <w:bCs/>
          <w:sz w:val="20"/>
          <w:szCs w:val="22"/>
        </w:rPr>
        <w:t>Ustalenia  dotyczące zasad  ochrony i  kształtowania  ładu przestrzennego oraz parametrów i wskaźników kształtowania zabudowy oraz zagospodarowania terenu:</w:t>
      </w:r>
    </w:p>
    <w:p w:rsidR="00EA3805" w:rsidRDefault="00EA3805" w:rsidP="00EA3805">
      <w:pPr>
        <w:ind w:left="720" w:hanging="360"/>
        <w:jc w:val="both"/>
        <w:rPr>
          <w:sz w:val="20"/>
        </w:rPr>
      </w:pPr>
      <w:r>
        <w:rPr>
          <w:sz w:val="20"/>
        </w:rPr>
        <w:t>1)   maksymalna wysokość zabudowy:</w:t>
      </w:r>
    </w:p>
    <w:p w:rsidR="00EA3805" w:rsidRDefault="00EA3805" w:rsidP="00EA3805">
      <w:pPr>
        <w:ind w:left="1980" w:hanging="1260"/>
        <w:jc w:val="both"/>
        <w:rPr>
          <w:sz w:val="20"/>
        </w:rPr>
      </w:pPr>
      <w:r>
        <w:rPr>
          <w:sz w:val="20"/>
        </w:rPr>
        <w:t>a)   usługowej – 2 kondygnacje nadziemne, w tym poddasze użytkowe i nie więcej niż 10 m;</w:t>
      </w:r>
    </w:p>
    <w:p w:rsidR="00EA3805" w:rsidRDefault="00EA3805" w:rsidP="00EA3805">
      <w:pPr>
        <w:ind w:left="1980" w:hanging="1260"/>
        <w:jc w:val="both"/>
        <w:rPr>
          <w:sz w:val="20"/>
        </w:rPr>
      </w:pPr>
      <w:r>
        <w:rPr>
          <w:sz w:val="20"/>
        </w:rPr>
        <w:t xml:space="preserve">b)   gospodarczej i garażowej: 5 m; </w:t>
      </w:r>
    </w:p>
    <w:p w:rsidR="00EA3805" w:rsidRDefault="00EA3805" w:rsidP="00EA3805">
      <w:pPr>
        <w:ind w:left="720" w:hanging="360"/>
        <w:jc w:val="both"/>
        <w:rPr>
          <w:sz w:val="20"/>
        </w:rPr>
      </w:pPr>
      <w:r>
        <w:rPr>
          <w:sz w:val="20"/>
        </w:rPr>
        <w:t>2)   maksymalna intensywność zabudowy na działkach inwestycyjnych: 0,8;</w:t>
      </w:r>
    </w:p>
    <w:p w:rsidR="00EA3805" w:rsidRDefault="00EA3805" w:rsidP="00EA3805">
      <w:pPr>
        <w:ind w:left="720" w:hanging="360"/>
        <w:jc w:val="both"/>
        <w:rPr>
          <w:sz w:val="20"/>
        </w:rPr>
      </w:pPr>
      <w:r>
        <w:rPr>
          <w:sz w:val="20"/>
        </w:rPr>
        <w:t>3)   minimalny udział powierzchni biologicznie czynnej na działkach inwestycyjnych pod zabudowę: 20%;</w:t>
      </w:r>
    </w:p>
    <w:p w:rsidR="00EA3805" w:rsidRDefault="00EA3805" w:rsidP="00EA3805">
      <w:pPr>
        <w:ind w:left="720" w:hanging="360"/>
        <w:jc w:val="both"/>
        <w:rPr>
          <w:sz w:val="20"/>
        </w:rPr>
      </w:pPr>
      <w:r>
        <w:rPr>
          <w:sz w:val="20"/>
        </w:rPr>
        <w:t>4) stosowanie  dachów: płaskich,  jednospadowych, dwuspadowych  oraz  wielospadowych o symetrycznym układzie połaci głównych i nachyleniu do 45º;</w:t>
      </w:r>
    </w:p>
    <w:p w:rsidR="00EA3805" w:rsidRDefault="00EA3805" w:rsidP="00EA3805">
      <w:pPr>
        <w:ind w:left="720" w:hanging="360"/>
        <w:jc w:val="both"/>
        <w:rPr>
          <w:sz w:val="20"/>
        </w:rPr>
      </w:pPr>
      <w:r>
        <w:rPr>
          <w:sz w:val="20"/>
        </w:rPr>
        <w:t>5)   stosowanie pokrycia dachów dwuspadowych oraz wielospadowych w formie dachówki lub materiałów o wyglądzie zbliżonym do dachówki;</w:t>
      </w:r>
    </w:p>
    <w:p w:rsidR="00EA3805" w:rsidRDefault="00EA3805" w:rsidP="00EA3805">
      <w:pPr>
        <w:ind w:left="720" w:hanging="360"/>
        <w:jc w:val="both"/>
        <w:rPr>
          <w:sz w:val="20"/>
        </w:rPr>
      </w:pPr>
      <w:r>
        <w:rPr>
          <w:sz w:val="20"/>
        </w:rPr>
        <w:t>6)  stosowanie kolorystyki dachów dwuspadowych oraz wielospadowych w tonacji: czerwieni, brązu lub szarości;</w:t>
      </w:r>
    </w:p>
    <w:p w:rsidR="00EA3805" w:rsidRDefault="00EA3805" w:rsidP="00EA3805">
      <w:pPr>
        <w:ind w:left="720" w:hanging="360"/>
        <w:jc w:val="both"/>
        <w:rPr>
          <w:sz w:val="20"/>
        </w:rPr>
      </w:pPr>
      <w:r>
        <w:rPr>
          <w:sz w:val="20"/>
        </w:rPr>
        <w:t>7)  zakaz stosowania jaskrawej kolorystyki elewacji i ogrodzeń, o ile nie jest to związane z prezentacją znaku firmowego inwestora;</w:t>
      </w:r>
    </w:p>
    <w:p w:rsidR="00EA3805" w:rsidRDefault="00EA3805" w:rsidP="00EA3805">
      <w:pPr>
        <w:ind w:left="720" w:hanging="360"/>
        <w:jc w:val="both"/>
        <w:rPr>
          <w:sz w:val="20"/>
        </w:rPr>
      </w:pPr>
      <w:r>
        <w:rPr>
          <w:sz w:val="20"/>
        </w:rPr>
        <w:t>8)  zharmonizowanie  kolorystyki elewacji i materiałów wykończeniowych  poszczególnych budynków zlokalizowanych na tych samych działkach inwestycyjnych;</w:t>
      </w:r>
    </w:p>
    <w:p w:rsidR="00EA3805" w:rsidRDefault="00EA3805" w:rsidP="00EA3805">
      <w:pPr>
        <w:ind w:left="720" w:hanging="360"/>
        <w:jc w:val="both"/>
        <w:rPr>
          <w:sz w:val="20"/>
        </w:rPr>
      </w:pPr>
      <w:r>
        <w:rPr>
          <w:sz w:val="20"/>
        </w:rPr>
        <w:t>9)   zakaz stosowania ogrodzeń z prefabrykatów betonowych.</w:t>
      </w:r>
    </w:p>
    <w:p w:rsidR="00EA3805" w:rsidRDefault="00EA3805" w:rsidP="00EA3805">
      <w:pPr>
        <w:ind w:left="360" w:hanging="360"/>
        <w:jc w:val="both"/>
        <w:rPr>
          <w:sz w:val="20"/>
        </w:rPr>
      </w:pPr>
      <w:r>
        <w:rPr>
          <w:sz w:val="20"/>
          <w:szCs w:val="22"/>
        </w:rPr>
        <w:t xml:space="preserve">3.   </w:t>
      </w:r>
      <w:r>
        <w:rPr>
          <w:b/>
          <w:bCs/>
          <w:sz w:val="20"/>
          <w:szCs w:val="22"/>
        </w:rPr>
        <w:t>Ustalenia dotyczące szczegółowych zasad i warunków scalania i podziału nieruchomości:</w:t>
      </w:r>
    </w:p>
    <w:p w:rsidR="00EA3805" w:rsidRDefault="00EA3805" w:rsidP="00EA3805">
      <w:pPr>
        <w:ind w:left="720" w:hanging="360"/>
        <w:jc w:val="both"/>
        <w:rPr>
          <w:sz w:val="20"/>
        </w:rPr>
      </w:pPr>
      <w:r>
        <w:rPr>
          <w:sz w:val="20"/>
        </w:rPr>
        <w:t>1)   minimalna wielkość nowo wydzielonych działek inwestycyjnych pod zabudowę: 1000 m2;</w:t>
      </w:r>
    </w:p>
    <w:p w:rsidR="00EA3805" w:rsidRDefault="00EA3805" w:rsidP="00EA3805">
      <w:pPr>
        <w:ind w:left="720" w:hanging="360"/>
        <w:jc w:val="both"/>
        <w:rPr>
          <w:sz w:val="20"/>
        </w:rPr>
      </w:pPr>
      <w:r>
        <w:rPr>
          <w:sz w:val="20"/>
        </w:rPr>
        <w:t>2)   minimalna szerokość frontów nowo wydzielonych działek inwestycyjnych pod zabudowę: 20 m;</w:t>
      </w:r>
    </w:p>
    <w:p w:rsidR="00EA3805" w:rsidRDefault="00EA3805" w:rsidP="00EA3805">
      <w:pPr>
        <w:ind w:left="720" w:hanging="360"/>
        <w:jc w:val="both"/>
        <w:rPr>
          <w:sz w:val="20"/>
        </w:rPr>
      </w:pPr>
      <w:r>
        <w:rPr>
          <w:sz w:val="20"/>
        </w:rPr>
        <w:t>3)   kąt położenia granicy działki inwestycyjnych pod zabudowę w stosunku do pasa drogowego:</w:t>
      </w:r>
    </w:p>
    <w:p w:rsidR="00EA3805" w:rsidRDefault="00EA3805" w:rsidP="00EA3805">
      <w:pPr>
        <w:ind w:left="720"/>
        <w:jc w:val="both"/>
        <w:rPr>
          <w:sz w:val="20"/>
        </w:rPr>
      </w:pPr>
      <w:r>
        <w:rPr>
          <w:sz w:val="20"/>
        </w:rPr>
        <w:t>a)   w zakresie: 70</w:t>
      </w:r>
      <w:r>
        <w:rPr>
          <w:sz w:val="20"/>
          <w:vertAlign w:val="superscript"/>
        </w:rPr>
        <w:t>0</w:t>
      </w:r>
      <w:r>
        <w:rPr>
          <w:sz w:val="20"/>
        </w:rPr>
        <w:t xml:space="preserve"> – 110º;</w:t>
      </w:r>
    </w:p>
    <w:p w:rsidR="00EA3805" w:rsidRDefault="00EA3805" w:rsidP="00EA3805">
      <w:pPr>
        <w:ind w:left="720"/>
        <w:jc w:val="both"/>
        <w:rPr>
          <w:sz w:val="20"/>
        </w:rPr>
      </w:pPr>
      <w:r>
        <w:rPr>
          <w:sz w:val="20"/>
        </w:rPr>
        <w:t>b)   równolegle do istniejących podziałów.</w:t>
      </w:r>
    </w:p>
    <w:p w:rsidR="00EA3805" w:rsidRDefault="00EA3805" w:rsidP="00EA3805">
      <w:pPr>
        <w:ind w:left="720" w:hanging="360"/>
        <w:jc w:val="both"/>
        <w:rPr>
          <w:sz w:val="20"/>
        </w:rPr>
      </w:pPr>
      <w:r>
        <w:rPr>
          <w:sz w:val="20"/>
        </w:rPr>
        <w:t>4)   powyższe ustalenia nie odnoszą się do działek wydzielonych przed wejściem planu w życie.</w:t>
      </w:r>
    </w:p>
    <w:p w:rsidR="00EA3805" w:rsidRDefault="00EA3805" w:rsidP="00EA3805">
      <w:pPr>
        <w:ind w:left="360" w:hanging="360"/>
        <w:jc w:val="both"/>
        <w:rPr>
          <w:sz w:val="20"/>
        </w:rPr>
      </w:pPr>
      <w:r>
        <w:rPr>
          <w:sz w:val="20"/>
          <w:szCs w:val="22"/>
        </w:rPr>
        <w:t xml:space="preserve">4. </w:t>
      </w:r>
      <w:r>
        <w:rPr>
          <w:b/>
          <w:bCs/>
          <w:sz w:val="20"/>
          <w:szCs w:val="22"/>
        </w:rPr>
        <w:t>Ustalenia dotyczące zasad modernizacji, rozbudowy i budowy systemów komunikacji i infrastruktury technicznej:</w:t>
      </w:r>
    </w:p>
    <w:p w:rsidR="00EA3805" w:rsidRDefault="00EA3805" w:rsidP="00EA3805">
      <w:pPr>
        <w:ind w:left="720" w:hanging="360"/>
        <w:jc w:val="both"/>
        <w:rPr>
          <w:sz w:val="20"/>
        </w:rPr>
      </w:pPr>
      <w:r>
        <w:rPr>
          <w:sz w:val="20"/>
        </w:rPr>
        <w:t xml:space="preserve">1)   na terenie: </w:t>
      </w:r>
      <w:r>
        <w:rPr>
          <w:sz w:val="20"/>
        </w:rPr>
        <w:fldChar w:fldCharType="begin"/>
      </w:r>
      <w:r>
        <w:rPr>
          <w:sz w:val="20"/>
        </w:rPr>
        <w:instrText xml:space="preserve"> MACROBUTTON OtworzJeden </w:instrText>
      </w:r>
      <w:r>
        <w:rPr>
          <w:sz w:val="20"/>
        </w:rPr>
        <w:fldChar w:fldCharType="begin"/>
      </w:r>
      <w:r>
        <w:rPr>
          <w:sz w:val="20"/>
        </w:rPr>
        <w:instrText xml:space="preserve"> QUOTE "D4.KSU-U" \* MERGEFORMAT </w:instrText>
      </w:r>
      <w:r>
        <w:rPr>
          <w:sz w:val="20"/>
        </w:rPr>
        <w:fldChar w:fldCharType="separate"/>
      </w:r>
      <w:r>
        <w:rPr>
          <w:sz w:val="20"/>
        </w:rPr>
        <w:instrText>D4.KSU-U</w:instrText>
      </w:r>
      <w:r>
        <w:rPr>
          <w:sz w:val="20"/>
        </w:rPr>
        <w:fldChar w:fldCharType="end"/>
      </w:r>
      <w:r>
        <w:rPr>
          <w:sz w:val="20"/>
        </w:rPr>
        <w:fldChar w:fldCharType="end"/>
      </w:r>
      <w:r>
        <w:rPr>
          <w:sz w:val="20"/>
        </w:rPr>
        <w:t xml:space="preserve"> ustala się ścieżkę dla rowerów, zgodnie z rysunkiem planu.</w:t>
      </w:r>
    </w:p>
    <w:p w:rsidR="00903FC6" w:rsidRDefault="00EA3805"/>
    <w:sectPr w:rsidR="00903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05"/>
    <w:rsid w:val="0002219D"/>
    <w:rsid w:val="00EA3805"/>
    <w:rsid w:val="00F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576D3-04D8-421B-866D-F084AEA1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805"/>
    <w:pPr>
      <w:spacing w:after="0" w:line="240" w:lineRule="auto"/>
    </w:pPr>
    <w:rPr>
      <w:rFonts w:ascii="Arial" w:eastAsia="Times New Roman" w:hAnsi="Arial" w:cs="Arial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Antonik</dc:creator>
  <cp:keywords/>
  <dc:description/>
  <cp:lastModifiedBy>Iwona Antonik</cp:lastModifiedBy>
  <cp:revision>1</cp:revision>
  <dcterms:created xsi:type="dcterms:W3CDTF">2022-09-27T06:36:00Z</dcterms:created>
  <dcterms:modified xsi:type="dcterms:W3CDTF">2022-09-27T06:38:00Z</dcterms:modified>
</cp:coreProperties>
</file>