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E9FC6" w14:textId="224F9EAD" w:rsidR="009262E5" w:rsidRPr="00857970" w:rsidRDefault="00463512">
      <w:pPr>
        <w:pStyle w:val="Teksttreci0"/>
        <w:shd w:val="clear" w:color="auto" w:fill="auto"/>
        <w:spacing w:after="560"/>
        <w:jc w:val="right"/>
      </w:pPr>
      <w:r w:rsidRPr="00857970">
        <w:t xml:space="preserve">Łapy, </w:t>
      </w:r>
      <w:r w:rsidR="00E443E6">
        <w:t>27</w:t>
      </w:r>
      <w:bookmarkStart w:id="0" w:name="_GoBack"/>
      <w:bookmarkEnd w:id="0"/>
      <w:r w:rsidR="00546E14" w:rsidRPr="00C7086D">
        <w:t>.12.2022</w:t>
      </w:r>
      <w:r w:rsidR="00CE6340" w:rsidRPr="00C7086D">
        <w:t xml:space="preserve"> r.</w:t>
      </w:r>
    </w:p>
    <w:p w14:paraId="07D45283" w14:textId="77777777" w:rsidR="009262E5" w:rsidRPr="00857970" w:rsidRDefault="00CE6340">
      <w:pPr>
        <w:pStyle w:val="Nagwek20"/>
        <w:keepNext/>
        <w:keepLines/>
        <w:shd w:val="clear" w:color="auto" w:fill="auto"/>
        <w:rPr>
          <w:rFonts w:ascii="Arial Narrow" w:hAnsi="Arial Narrow"/>
          <w:sz w:val="24"/>
          <w:szCs w:val="24"/>
        </w:rPr>
      </w:pPr>
      <w:bookmarkStart w:id="1" w:name="bookmark0"/>
      <w:bookmarkStart w:id="2" w:name="bookmark1"/>
      <w:r w:rsidRPr="00857970">
        <w:rPr>
          <w:rFonts w:ascii="Arial Narrow" w:hAnsi="Arial Narrow"/>
          <w:sz w:val="24"/>
          <w:szCs w:val="24"/>
        </w:rPr>
        <w:t>Dodatkowe warunki przetargu</w:t>
      </w:r>
      <w:bookmarkEnd w:id="1"/>
      <w:bookmarkEnd w:id="2"/>
    </w:p>
    <w:p w14:paraId="776E2E7F" w14:textId="2790D296" w:rsidR="009262E5" w:rsidRPr="00857970" w:rsidRDefault="00CE6340" w:rsidP="00857970">
      <w:pPr>
        <w:pStyle w:val="Akapitzlist"/>
        <w:spacing w:line="259" w:lineRule="auto"/>
        <w:ind w:left="0" w:firstLine="709"/>
        <w:jc w:val="both"/>
        <w:rPr>
          <w:rFonts w:ascii="Arial Narrow" w:hAnsi="Arial Narrow"/>
          <w:sz w:val="24"/>
          <w:szCs w:val="24"/>
        </w:rPr>
      </w:pPr>
      <w:r w:rsidRPr="00857970">
        <w:rPr>
          <w:rFonts w:ascii="Arial Narrow" w:hAnsi="Arial Narrow"/>
          <w:sz w:val="24"/>
          <w:szCs w:val="24"/>
        </w:rPr>
        <w:t>Na podstawie rozporządzenia Rady Ministrów z dnia 14 września 2004 roku w sprawie sposobu i trybu przeprowadzania przetargów oraz rokowań na zbycie nieruchomości (</w:t>
      </w:r>
      <w:proofErr w:type="spellStart"/>
      <w:r w:rsidR="00546E14" w:rsidRPr="00857970">
        <w:rPr>
          <w:rFonts w:ascii="Arial Narrow" w:hAnsi="Arial Narrow"/>
          <w:sz w:val="24"/>
          <w:szCs w:val="24"/>
        </w:rPr>
        <w:t>t.j</w:t>
      </w:r>
      <w:proofErr w:type="spellEnd"/>
      <w:r w:rsidR="00546E14" w:rsidRPr="00857970">
        <w:rPr>
          <w:rFonts w:ascii="Arial Narrow" w:hAnsi="Arial Narrow"/>
          <w:sz w:val="24"/>
          <w:szCs w:val="24"/>
        </w:rPr>
        <w:t>. Dz. U. z 2021 r. poz</w:t>
      </w:r>
      <w:proofErr w:type="gramStart"/>
      <w:r w:rsidR="00546E14" w:rsidRPr="00857970">
        <w:rPr>
          <w:rFonts w:ascii="Arial Narrow" w:hAnsi="Arial Narrow"/>
          <w:sz w:val="24"/>
          <w:szCs w:val="24"/>
        </w:rPr>
        <w:t>. 2213).</w:t>
      </w:r>
      <w:r w:rsidRPr="00857970">
        <w:rPr>
          <w:rFonts w:ascii="Arial Narrow" w:hAnsi="Arial Narrow"/>
          <w:sz w:val="24"/>
          <w:szCs w:val="24"/>
        </w:rPr>
        <w:t xml:space="preserve"> ustala</w:t>
      </w:r>
      <w:proofErr w:type="gramEnd"/>
      <w:r w:rsidRPr="00857970">
        <w:rPr>
          <w:rFonts w:ascii="Arial Narrow" w:hAnsi="Arial Narrow"/>
          <w:sz w:val="24"/>
          <w:szCs w:val="24"/>
        </w:rPr>
        <w:t xml:space="preserve"> się dodatkowe warunki ograniczonego pisemnego przetargu ofertowego na sprzedaż prawa użytkowania wieczystego nieruchomości, stanowiących własność Skarbu Państwa w użytkowaniu wieczystym Gminy Łapy położonych na terenie Podstrefy Łapy Tarnobrzeskiej Specjalnej Strefy Ekonomicznej EURO-PARK WISŁOSAN.</w:t>
      </w:r>
    </w:p>
    <w:p w14:paraId="58FAC635" w14:textId="77777777" w:rsidR="009262E5" w:rsidRPr="00857970" w:rsidRDefault="00CE6340">
      <w:pPr>
        <w:pStyle w:val="Teksttreci0"/>
        <w:numPr>
          <w:ilvl w:val="0"/>
          <w:numId w:val="1"/>
        </w:numPr>
        <w:shd w:val="clear" w:color="auto" w:fill="auto"/>
        <w:tabs>
          <w:tab w:val="left" w:pos="361"/>
        </w:tabs>
        <w:jc w:val="both"/>
      </w:pPr>
      <w:r w:rsidRPr="00857970">
        <w:t>Pisemne oferty powinny zawierać:</w:t>
      </w:r>
    </w:p>
    <w:p w14:paraId="2792B3B3" w14:textId="77777777" w:rsidR="009262E5" w:rsidRPr="00857970" w:rsidRDefault="00CE6340">
      <w:pPr>
        <w:pStyle w:val="Teksttreci0"/>
        <w:numPr>
          <w:ilvl w:val="0"/>
          <w:numId w:val="2"/>
        </w:numPr>
        <w:shd w:val="clear" w:color="auto" w:fill="auto"/>
        <w:tabs>
          <w:tab w:val="left" w:pos="790"/>
        </w:tabs>
        <w:ind w:left="820" w:hanging="420"/>
        <w:jc w:val="both"/>
      </w:pPr>
      <w:proofErr w:type="gramStart"/>
      <w:r w:rsidRPr="00857970">
        <w:t>imię</w:t>
      </w:r>
      <w:proofErr w:type="gramEnd"/>
      <w:r w:rsidRPr="00857970">
        <w:t>, nazwisko i adres oferenta lub nazwę firmy oraz siedzibę, jeśli oferentem jest osoba prawna,</w:t>
      </w:r>
    </w:p>
    <w:p w14:paraId="4204A8B4" w14:textId="77777777" w:rsidR="009262E5" w:rsidRPr="00857970" w:rsidRDefault="00CE6340">
      <w:pPr>
        <w:pStyle w:val="Teksttreci0"/>
        <w:numPr>
          <w:ilvl w:val="0"/>
          <w:numId w:val="2"/>
        </w:numPr>
        <w:shd w:val="clear" w:color="auto" w:fill="auto"/>
        <w:tabs>
          <w:tab w:val="left" w:pos="790"/>
        </w:tabs>
        <w:ind w:firstLine="380"/>
        <w:jc w:val="both"/>
      </w:pPr>
      <w:proofErr w:type="gramStart"/>
      <w:r w:rsidRPr="00857970">
        <w:t>dokumenty</w:t>
      </w:r>
      <w:proofErr w:type="gramEnd"/>
      <w:r w:rsidRPr="00857970">
        <w:t xml:space="preserve"> rejestrowe przedsiębiorców,</w:t>
      </w:r>
    </w:p>
    <w:p w14:paraId="47C8D097" w14:textId="77777777" w:rsidR="009262E5" w:rsidRPr="00857970" w:rsidRDefault="00CE6340">
      <w:pPr>
        <w:pStyle w:val="Teksttreci0"/>
        <w:numPr>
          <w:ilvl w:val="0"/>
          <w:numId w:val="2"/>
        </w:numPr>
        <w:shd w:val="clear" w:color="auto" w:fill="auto"/>
        <w:tabs>
          <w:tab w:val="left" w:pos="790"/>
        </w:tabs>
        <w:ind w:left="820" w:hanging="420"/>
        <w:jc w:val="both"/>
      </w:pPr>
      <w:proofErr w:type="gramStart"/>
      <w:r w:rsidRPr="00857970">
        <w:t>oświadczenie</w:t>
      </w:r>
      <w:proofErr w:type="gramEnd"/>
      <w:r w:rsidRPr="00857970">
        <w:t xml:space="preserve"> współmałżonka o wyrażeniu zgody na udział w przetargu osoby fizycznej w przypadku istnienia wspólności majątkowej,</w:t>
      </w:r>
    </w:p>
    <w:p w14:paraId="7DF70A77" w14:textId="77777777" w:rsidR="009262E5" w:rsidRPr="00857970" w:rsidRDefault="00CE6340">
      <w:pPr>
        <w:pStyle w:val="Teksttreci0"/>
        <w:numPr>
          <w:ilvl w:val="0"/>
          <w:numId w:val="2"/>
        </w:numPr>
        <w:shd w:val="clear" w:color="auto" w:fill="auto"/>
        <w:tabs>
          <w:tab w:val="left" w:pos="790"/>
        </w:tabs>
        <w:ind w:firstLine="380"/>
        <w:jc w:val="both"/>
      </w:pPr>
      <w:proofErr w:type="gramStart"/>
      <w:r w:rsidRPr="00857970">
        <w:t>datę</w:t>
      </w:r>
      <w:proofErr w:type="gramEnd"/>
      <w:r w:rsidRPr="00857970">
        <w:t xml:space="preserve"> sporządzenia oferty,</w:t>
      </w:r>
    </w:p>
    <w:p w14:paraId="095980BA" w14:textId="77777777" w:rsidR="009262E5" w:rsidRPr="00857970" w:rsidRDefault="00CE6340">
      <w:pPr>
        <w:pStyle w:val="Teksttreci0"/>
        <w:numPr>
          <w:ilvl w:val="0"/>
          <w:numId w:val="2"/>
        </w:numPr>
        <w:shd w:val="clear" w:color="auto" w:fill="auto"/>
        <w:tabs>
          <w:tab w:val="left" w:pos="790"/>
        </w:tabs>
        <w:ind w:left="820" w:hanging="420"/>
        <w:jc w:val="both"/>
      </w:pPr>
      <w:proofErr w:type="gramStart"/>
      <w:r w:rsidRPr="00857970">
        <w:t>oferowaną</w:t>
      </w:r>
      <w:proofErr w:type="gramEnd"/>
      <w:r w:rsidRPr="00857970">
        <w:t xml:space="preserve"> konkretną cenę podaną w zł netto bez wskazywania komisji wykonania dodatkowych przeliczeń,</w:t>
      </w:r>
    </w:p>
    <w:p w14:paraId="49AC1F09" w14:textId="16C55DAC" w:rsidR="009262E5" w:rsidRPr="00857970" w:rsidRDefault="00CE6340">
      <w:pPr>
        <w:pStyle w:val="Teksttreci0"/>
        <w:numPr>
          <w:ilvl w:val="0"/>
          <w:numId w:val="2"/>
        </w:numPr>
        <w:shd w:val="clear" w:color="auto" w:fill="auto"/>
        <w:tabs>
          <w:tab w:val="left" w:pos="790"/>
        </w:tabs>
        <w:ind w:left="820" w:hanging="420"/>
        <w:jc w:val="both"/>
      </w:pPr>
      <w:proofErr w:type="gramStart"/>
      <w:r w:rsidRPr="00857970">
        <w:t>zobowiązanie</w:t>
      </w:r>
      <w:proofErr w:type="gramEnd"/>
      <w:r w:rsidRPr="00857970">
        <w:t xml:space="preserve"> się w przypadku nabycia nieruchomości </w:t>
      </w:r>
      <w:r w:rsidRPr="000964A7">
        <w:rPr>
          <w:color w:val="auto"/>
        </w:rPr>
        <w:t>do</w:t>
      </w:r>
      <w:r w:rsidR="00857970" w:rsidRPr="000964A7">
        <w:rPr>
          <w:color w:val="auto"/>
        </w:rPr>
        <w:t xml:space="preserve"> zagospodarowania nieruchomości</w:t>
      </w:r>
      <w:r w:rsidRPr="000964A7">
        <w:rPr>
          <w:color w:val="auto"/>
        </w:rPr>
        <w:t xml:space="preserve"> </w:t>
      </w:r>
      <w:r w:rsidRPr="00857970">
        <w:t xml:space="preserve">w terminie </w:t>
      </w:r>
      <w:r w:rsidRPr="00C7086D">
        <w:t xml:space="preserve">do </w:t>
      </w:r>
      <w:r w:rsidR="00135153" w:rsidRPr="00C7086D">
        <w:t>31.12.2024</w:t>
      </w:r>
      <w:r w:rsidRPr="00857970">
        <w:t xml:space="preserve"> </w:t>
      </w:r>
      <w:proofErr w:type="gramStart"/>
      <w:r w:rsidRPr="00857970">
        <w:t>r</w:t>
      </w:r>
      <w:proofErr w:type="gramEnd"/>
      <w:r w:rsidRPr="00857970">
        <w:t>,</w:t>
      </w:r>
    </w:p>
    <w:p w14:paraId="6B2F7056" w14:textId="519CB3DD" w:rsidR="009262E5" w:rsidRPr="00857970" w:rsidRDefault="00CE6340">
      <w:pPr>
        <w:pStyle w:val="Teksttreci0"/>
        <w:numPr>
          <w:ilvl w:val="0"/>
          <w:numId w:val="2"/>
        </w:numPr>
        <w:shd w:val="clear" w:color="auto" w:fill="auto"/>
        <w:tabs>
          <w:tab w:val="left" w:pos="790"/>
        </w:tabs>
        <w:ind w:left="820" w:hanging="420"/>
        <w:jc w:val="both"/>
      </w:pPr>
      <w:proofErr w:type="gramStart"/>
      <w:r w:rsidRPr="00857970">
        <w:t>zadeklarowaną</w:t>
      </w:r>
      <w:proofErr w:type="gramEnd"/>
      <w:r w:rsidRPr="00857970">
        <w:t xml:space="preserve"> ilość utworzonych w przeciągu 6 lat od daty nabycia</w:t>
      </w:r>
      <w:r w:rsidR="00857970">
        <w:t xml:space="preserve"> nieruchomości</w:t>
      </w:r>
      <w:r w:rsidRPr="00857970">
        <w:t xml:space="preserve"> nowych miejsc pracy w </w:t>
      </w:r>
      <w:r w:rsidR="000964A7">
        <w:t xml:space="preserve">związku z realizacją inwestycji </w:t>
      </w:r>
      <w:r w:rsidRPr="00857970">
        <w:t>na nabytej nieruchomości - ilość osób,</w:t>
      </w:r>
    </w:p>
    <w:p w14:paraId="15F58BCE" w14:textId="77777777" w:rsidR="009262E5" w:rsidRPr="00857970" w:rsidRDefault="00CE6340">
      <w:pPr>
        <w:pStyle w:val="Teksttreci0"/>
        <w:numPr>
          <w:ilvl w:val="0"/>
          <w:numId w:val="2"/>
        </w:numPr>
        <w:shd w:val="clear" w:color="auto" w:fill="auto"/>
        <w:tabs>
          <w:tab w:val="left" w:pos="790"/>
        </w:tabs>
        <w:ind w:left="820" w:hanging="420"/>
        <w:jc w:val="both"/>
      </w:pPr>
      <w:proofErr w:type="gramStart"/>
      <w:r w:rsidRPr="00857970">
        <w:t>oświadczenie</w:t>
      </w:r>
      <w:proofErr w:type="gramEnd"/>
      <w:r w:rsidRPr="00857970">
        <w:t>, że oferent zapoznał się z warunkami przetargu i przyjmuje te warunki bez zastrzeżeń,</w:t>
      </w:r>
    </w:p>
    <w:p w14:paraId="08011B5B" w14:textId="77777777" w:rsidR="009262E5" w:rsidRPr="00857970" w:rsidRDefault="00CE6340">
      <w:pPr>
        <w:pStyle w:val="Teksttreci0"/>
        <w:numPr>
          <w:ilvl w:val="0"/>
          <w:numId w:val="2"/>
        </w:numPr>
        <w:shd w:val="clear" w:color="auto" w:fill="auto"/>
        <w:tabs>
          <w:tab w:val="left" w:pos="790"/>
        </w:tabs>
        <w:ind w:firstLine="380"/>
        <w:jc w:val="both"/>
      </w:pPr>
      <w:proofErr w:type="gramStart"/>
      <w:r w:rsidRPr="00857970">
        <w:t>podpis</w:t>
      </w:r>
      <w:proofErr w:type="gramEnd"/>
      <w:r w:rsidRPr="00857970">
        <w:t xml:space="preserve"> osoby (osób) składających ofertę,</w:t>
      </w:r>
    </w:p>
    <w:p w14:paraId="2D832A68" w14:textId="77777777" w:rsidR="009262E5" w:rsidRPr="00857970" w:rsidRDefault="00CE6340">
      <w:pPr>
        <w:pStyle w:val="Teksttreci0"/>
        <w:numPr>
          <w:ilvl w:val="0"/>
          <w:numId w:val="2"/>
        </w:numPr>
        <w:shd w:val="clear" w:color="auto" w:fill="auto"/>
        <w:tabs>
          <w:tab w:val="left" w:pos="790"/>
        </w:tabs>
        <w:ind w:firstLine="380"/>
        <w:jc w:val="both"/>
      </w:pPr>
      <w:proofErr w:type="gramStart"/>
      <w:r w:rsidRPr="00857970">
        <w:t>dowód</w:t>
      </w:r>
      <w:proofErr w:type="gramEnd"/>
      <w:r w:rsidRPr="00857970">
        <w:t xml:space="preserve"> wpłaty wadium,</w:t>
      </w:r>
    </w:p>
    <w:p w14:paraId="1BFEA20A" w14:textId="77777777" w:rsidR="009262E5" w:rsidRPr="00857970" w:rsidRDefault="00CE6340">
      <w:pPr>
        <w:pStyle w:val="Teksttreci0"/>
        <w:numPr>
          <w:ilvl w:val="0"/>
          <w:numId w:val="1"/>
        </w:numPr>
        <w:shd w:val="clear" w:color="auto" w:fill="auto"/>
        <w:tabs>
          <w:tab w:val="left" w:pos="361"/>
        </w:tabs>
        <w:jc w:val="both"/>
      </w:pPr>
      <w:r w:rsidRPr="00857970">
        <w:t>Kryteria oceny ofert:</w:t>
      </w:r>
    </w:p>
    <w:p w14:paraId="129B0D56" w14:textId="77777777" w:rsidR="009262E5" w:rsidRPr="00857970" w:rsidRDefault="00CE6340">
      <w:pPr>
        <w:pStyle w:val="Teksttreci0"/>
        <w:numPr>
          <w:ilvl w:val="0"/>
          <w:numId w:val="3"/>
        </w:numPr>
        <w:shd w:val="clear" w:color="auto" w:fill="auto"/>
        <w:tabs>
          <w:tab w:val="left" w:pos="790"/>
        </w:tabs>
        <w:ind w:firstLine="380"/>
        <w:jc w:val="both"/>
      </w:pPr>
      <w:proofErr w:type="gramStart"/>
      <w:r w:rsidRPr="00857970">
        <w:t>oferowana</w:t>
      </w:r>
      <w:proofErr w:type="gramEnd"/>
      <w:r w:rsidRPr="00857970">
        <w:t xml:space="preserve"> cena nabycia nieruchomości ■ </w:t>
      </w:r>
      <w:r w:rsidRPr="00857970">
        <w:rPr>
          <w:b/>
          <w:bCs/>
        </w:rPr>
        <w:t>do 80 pkt,</w:t>
      </w:r>
    </w:p>
    <w:p w14:paraId="615B5C74" w14:textId="38ACBC94" w:rsidR="009262E5" w:rsidRPr="00857970" w:rsidRDefault="00CE6340">
      <w:pPr>
        <w:pStyle w:val="Teksttreci0"/>
        <w:numPr>
          <w:ilvl w:val="0"/>
          <w:numId w:val="3"/>
        </w:numPr>
        <w:shd w:val="clear" w:color="auto" w:fill="auto"/>
        <w:tabs>
          <w:tab w:val="left" w:pos="790"/>
        </w:tabs>
        <w:ind w:left="740" w:hanging="340"/>
        <w:jc w:val="both"/>
      </w:pPr>
      <w:proofErr w:type="gramStart"/>
      <w:r w:rsidRPr="00857970">
        <w:t>deklarowana</w:t>
      </w:r>
      <w:proofErr w:type="gramEnd"/>
      <w:r w:rsidRPr="00857970">
        <w:t xml:space="preserve"> ilość utworzonych w przeciągu </w:t>
      </w:r>
      <w:r w:rsidRPr="00857970">
        <w:rPr>
          <w:b/>
          <w:bCs/>
        </w:rPr>
        <w:t xml:space="preserve">6 lat </w:t>
      </w:r>
      <w:r w:rsidRPr="00857970">
        <w:t xml:space="preserve">od daty nabycia nieruchomości nowych miejsc pracy </w:t>
      </w:r>
      <w:r w:rsidR="00E5446A" w:rsidRPr="00857970">
        <w:t xml:space="preserve">w </w:t>
      </w:r>
      <w:r w:rsidR="00E5446A">
        <w:t xml:space="preserve">związku z realizacją inwestycji </w:t>
      </w:r>
      <w:r w:rsidR="00E5446A" w:rsidRPr="00857970">
        <w:t xml:space="preserve">na nabytej nieruchomości </w:t>
      </w:r>
      <w:r w:rsidRPr="00857970">
        <w:t xml:space="preserve">- </w:t>
      </w:r>
      <w:r w:rsidRPr="00857970">
        <w:rPr>
          <w:b/>
          <w:bCs/>
        </w:rPr>
        <w:t>do 20 pkt,</w:t>
      </w:r>
    </w:p>
    <w:p w14:paraId="08F6C189" w14:textId="77777777" w:rsidR="009262E5" w:rsidRPr="00857970" w:rsidRDefault="00CE6340">
      <w:pPr>
        <w:pStyle w:val="Teksttreci0"/>
        <w:shd w:val="clear" w:color="auto" w:fill="auto"/>
        <w:ind w:firstLine="380"/>
        <w:jc w:val="both"/>
      </w:pPr>
      <w:proofErr w:type="gramStart"/>
      <w:r w:rsidRPr="00857970">
        <w:t>Zobowiązania o których</w:t>
      </w:r>
      <w:proofErr w:type="gramEnd"/>
      <w:r w:rsidRPr="00857970">
        <w:t xml:space="preserve"> mowa zostaną wpisane do aktu notarialnego.</w:t>
      </w:r>
    </w:p>
    <w:p w14:paraId="7D6B4DC0" w14:textId="77777777" w:rsidR="009262E5" w:rsidRPr="00857970" w:rsidRDefault="00CE6340">
      <w:pPr>
        <w:pStyle w:val="Teksttreci0"/>
        <w:numPr>
          <w:ilvl w:val="0"/>
          <w:numId w:val="1"/>
        </w:numPr>
        <w:shd w:val="clear" w:color="auto" w:fill="auto"/>
        <w:tabs>
          <w:tab w:val="left" w:pos="361"/>
        </w:tabs>
        <w:jc w:val="both"/>
      </w:pPr>
      <w:r w:rsidRPr="00857970">
        <w:t>Sposób oceny ofert i wyboru najkorzystniejszej oferty:</w:t>
      </w:r>
    </w:p>
    <w:p w14:paraId="1892CCAB" w14:textId="77777777" w:rsidR="009262E5" w:rsidRPr="00857970" w:rsidRDefault="00CE6340">
      <w:pPr>
        <w:pStyle w:val="Teksttreci0"/>
        <w:shd w:val="clear" w:color="auto" w:fill="auto"/>
        <w:spacing w:after="260"/>
        <w:ind w:left="380" w:firstLine="20"/>
        <w:jc w:val="both"/>
      </w:pPr>
      <w:r w:rsidRPr="00857970">
        <w:t xml:space="preserve">Porównanie ofert odbędzie się oddzielnie dla każdego kryterium. Ofertom za kryteria oceny określone w pkt 2 zostaną przyznane punkty wg następującego </w:t>
      </w:r>
      <w:proofErr w:type="gramStart"/>
      <w:r w:rsidRPr="00857970">
        <w:t>wzoru :</w:t>
      </w:r>
      <w:proofErr w:type="gramEnd"/>
    </w:p>
    <w:p w14:paraId="52C270CB" w14:textId="77777777" w:rsidR="009262E5" w:rsidRPr="00857970" w:rsidRDefault="00CE6340">
      <w:pPr>
        <w:pStyle w:val="Teksttreci30"/>
        <w:shd w:val="clear" w:color="auto" w:fill="auto"/>
        <w:jc w:val="both"/>
        <w:rPr>
          <w:sz w:val="24"/>
          <w:szCs w:val="24"/>
        </w:rPr>
      </w:pPr>
      <w:proofErr w:type="gramStart"/>
      <w:r w:rsidRPr="00857970">
        <w:rPr>
          <w:sz w:val="24"/>
          <w:szCs w:val="24"/>
        </w:rPr>
        <w:t>wielkość</w:t>
      </w:r>
      <w:proofErr w:type="gramEnd"/>
      <w:r w:rsidRPr="00857970">
        <w:rPr>
          <w:sz w:val="24"/>
          <w:szCs w:val="24"/>
        </w:rPr>
        <w:t xml:space="preserve"> oferty badanej</w:t>
      </w:r>
    </w:p>
    <w:p w14:paraId="086E1030" w14:textId="77777777" w:rsidR="009262E5" w:rsidRPr="00857970" w:rsidRDefault="00CE6340">
      <w:pPr>
        <w:pStyle w:val="Teksttreci0"/>
        <w:shd w:val="clear" w:color="auto" w:fill="auto"/>
        <w:tabs>
          <w:tab w:val="left" w:leader="dot" w:pos="790"/>
          <w:tab w:val="left" w:leader="dot" w:pos="2329"/>
          <w:tab w:val="left" w:leader="dot" w:pos="3188"/>
        </w:tabs>
        <w:spacing w:after="200"/>
        <w:ind w:left="380" w:firstLine="20"/>
        <w:jc w:val="both"/>
      </w:pPr>
      <w:r w:rsidRPr="00857970">
        <w:tab/>
        <w:t>-</w:t>
      </w:r>
      <w:r w:rsidRPr="00857970">
        <w:tab/>
      </w:r>
      <w:r w:rsidRPr="00857970">
        <w:tab/>
        <w:t>x maksymalna liczba punktów dla danego kryterium najwyższa wielkość ze złożonych ofert</w:t>
      </w:r>
    </w:p>
    <w:p w14:paraId="016FBF42" w14:textId="77777777" w:rsidR="009262E5" w:rsidRPr="00857970" w:rsidRDefault="00CE6340">
      <w:pPr>
        <w:pStyle w:val="Teksttreci0"/>
        <w:shd w:val="clear" w:color="auto" w:fill="auto"/>
        <w:ind w:left="380" w:firstLine="20"/>
        <w:jc w:val="both"/>
      </w:pPr>
      <w:r w:rsidRPr="00857970">
        <w:t>Wyliczone w ten sposób punkty za poszczególne kryteria z danej oferty zostaną zsumowane. Za najkorzystniejszą zostanie uznana oferta, która otrzyma największą liczbę punktów.</w:t>
      </w:r>
    </w:p>
    <w:p w14:paraId="3708F4D5" w14:textId="25C1AEEB" w:rsidR="009262E5" w:rsidRPr="00857970" w:rsidRDefault="00CE6340">
      <w:pPr>
        <w:pStyle w:val="Teksttreci0"/>
        <w:numPr>
          <w:ilvl w:val="0"/>
          <w:numId w:val="1"/>
        </w:numPr>
        <w:shd w:val="clear" w:color="auto" w:fill="auto"/>
        <w:tabs>
          <w:tab w:val="left" w:pos="361"/>
        </w:tabs>
        <w:ind w:left="380" w:hanging="380"/>
        <w:jc w:val="both"/>
      </w:pPr>
      <w:r w:rsidRPr="00857970">
        <w:t xml:space="preserve">Nabywca nieruchomości zobowiązany będzie </w:t>
      </w:r>
      <w:r w:rsidRPr="00034841">
        <w:rPr>
          <w:color w:val="auto"/>
        </w:rPr>
        <w:t xml:space="preserve">do </w:t>
      </w:r>
      <w:r w:rsidR="00857970" w:rsidRPr="00034841">
        <w:rPr>
          <w:color w:val="auto"/>
        </w:rPr>
        <w:t xml:space="preserve">zagospodarowania nieruchomości </w:t>
      </w:r>
      <w:r w:rsidRPr="00857970">
        <w:t xml:space="preserve">nie później niż w terminie do </w:t>
      </w:r>
      <w:r w:rsidR="00135153" w:rsidRPr="00C7086D">
        <w:t>31.12.2024</w:t>
      </w:r>
      <w:r w:rsidRPr="00C7086D">
        <w:t xml:space="preserve"> </w:t>
      </w:r>
      <w:proofErr w:type="gramStart"/>
      <w:r w:rsidRPr="00C7086D">
        <w:t>r</w:t>
      </w:r>
      <w:proofErr w:type="gramEnd"/>
      <w:r w:rsidRPr="00C7086D">
        <w:t>.</w:t>
      </w:r>
      <w:r w:rsidRPr="00857970">
        <w:br w:type="page"/>
      </w:r>
    </w:p>
    <w:p w14:paraId="6DA56F83" w14:textId="77777777" w:rsidR="009262E5" w:rsidRPr="00857970" w:rsidRDefault="00CE6340">
      <w:pPr>
        <w:pStyle w:val="Teksttreci0"/>
        <w:numPr>
          <w:ilvl w:val="0"/>
          <w:numId w:val="1"/>
        </w:numPr>
        <w:shd w:val="clear" w:color="auto" w:fill="auto"/>
        <w:tabs>
          <w:tab w:val="left" w:pos="364"/>
        </w:tabs>
      </w:pPr>
      <w:r w:rsidRPr="00857970">
        <w:lastRenderedPageBreak/>
        <w:t>Kary umowne:</w:t>
      </w:r>
    </w:p>
    <w:p w14:paraId="7EB3DB9D" w14:textId="77777777" w:rsidR="009262E5" w:rsidRPr="00857970" w:rsidRDefault="00CE6340">
      <w:pPr>
        <w:pStyle w:val="Teksttreci0"/>
        <w:numPr>
          <w:ilvl w:val="0"/>
          <w:numId w:val="4"/>
        </w:numPr>
        <w:shd w:val="clear" w:color="auto" w:fill="auto"/>
        <w:tabs>
          <w:tab w:val="left" w:pos="735"/>
        </w:tabs>
        <w:ind w:left="720" w:hanging="340"/>
        <w:jc w:val="both"/>
      </w:pPr>
      <w:proofErr w:type="gramStart"/>
      <w:r w:rsidRPr="00857970">
        <w:t>za</w:t>
      </w:r>
      <w:proofErr w:type="gramEnd"/>
      <w:r w:rsidRPr="00857970">
        <w:t xml:space="preserve"> niedotrzymanie zadeklarowanej wielkości wzrostu zatrudnienia - </w:t>
      </w:r>
      <w:r w:rsidRPr="00857970">
        <w:rPr>
          <w:b/>
          <w:bCs/>
        </w:rPr>
        <w:t xml:space="preserve">5 tyś. </w:t>
      </w:r>
      <w:proofErr w:type="gramStart"/>
      <w:r w:rsidRPr="00857970">
        <w:rPr>
          <w:b/>
          <w:bCs/>
        </w:rPr>
        <w:t>zł</w:t>
      </w:r>
      <w:proofErr w:type="gramEnd"/>
      <w:r w:rsidRPr="00857970">
        <w:rPr>
          <w:b/>
          <w:bCs/>
        </w:rPr>
        <w:t xml:space="preserve"> </w:t>
      </w:r>
      <w:r w:rsidRPr="00857970">
        <w:t xml:space="preserve">za jednego zadeklarowanego, lecz nie zatrudnionego w zadeklarowanym terminie pracownika, nie więcej jednak niż </w:t>
      </w:r>
      <w:r w:rsidRPr="00857970">
        <w:rPr>
          <w:b/>
          <w:bCs/>
        </w:rPr>
        <w:t xml:space="preserve">100 tyś. </w:t>
      </w:r>
      <w:proofErr w:type="gramStart"/>
      <w:r w:rsidRPr="00857970">
        <w:rPr>
          <w:b/>
          <w:bCs/>
        </w:rPr>
        <w:t>zł</w:t>
      </w:r>
      <w:proofErr w:type="gramEnd"/>
      <w:r w:rsidRPr="00857970">
        <w:rPr>
          <w:b/>
          <w:bCs/>
        </w:rPr>
        <w:t>.</w:t>
      </w:r>
    </w:p>
    <w:p w14:paraId="54FD0CF2" w14:textId="4A6B2FE1" w:rsidR="009262E5" w:rsidRPr="00857970" w:rsidRDefault="00CE6340">
      <w:pPr>
        <w:pStyle w:val="Teksttreci0"/>
        <w:numPr>
          <w:ilvl w:val="0"/>
          <w:numId w:val="4"/>
        </w:numPr>
        <w:shd w:val="clear" w:color="auto" w:fill="auto"/>
        <w:tabs>
          <w:tab w:val="left" w:pos="735"/>
        </w:tabs>
        <w:ind w:left="720" w:hanging="340"/>
        <w:jc w:val="both"/>
      </w:pPr>
      <w:proofErr w:type="gramStart"/>
      <w:r w:rsidRPr="00857970">
        <w:t>nabywca</w:t>
      </w:r>
      <w:proofErr w:type="gramEnd"/>
      <w:r w:rsidRPr="00857970">
        <w:t xml:space="preserve"> zapłaci karę umowną w wysokości 0,10% ceny brutto osiągniętej w przetargu za każdy dzień zwłoki z tytułu niedotrzymania terminu </w:t>
      </w:r>
      <w:r w:rsidR="00C7086D">
        <w:t>zagospodarowania</w:t>
      </w:r>
      <w:r w:rsidRPr="00857970">
        <w:t>, tj. d</w:t>
      </w:r>
      <w:r w:rsidRPr="00C7086D">
        <w:t xml:space="preserve">o </w:t>
      </w:r>
      <w:r w:rsidR="00135153" w:rsidRPr="00C7086D">
        <w:t>31.12.2024</w:t>
      </w:r>
      <w:r w:rsidRPr="00C7086D">
        <w:t xml:space="preserve"> </w:t>
      </w:r>
      <w:proofErr w:type="gramStart"/>
      <w:r w:rsidRPr="00C7086D">
        <w:t>r</w:t>
      </w:r>
      <w:proofErr w:type="gramEnd"/>
      <w:r w:rsidRPr="00857970">
        <w:t>., nie więcej jednak niż 30% ceny brutto osiągniętej w przetargu.</w:t>
      </w:r>
    </w:p>
    <w:p w14:paraId="0AE683F2" w14:textId="77777777" w:rsidR="009262E5" w:rsidRPr="00857970" w:rsidRDefault="00CE6340">
      <w:pPr>
        <w:pStyle w:val="Teksttreci0"/>
        <w:shd w:val="clear" w:color="auto" w:fill="auto"/>
        <w:ind w:left="380"/>
        <w:jc w:val="both"/>
      </w:pPr>
      <w:r w:rsidRPr="00857970">
        <w:t>Możliwość naliczenia kar umownych zostanie wpisana do aktu notarialnego, a ich egzekucja następować będzie wprost do treści aktu stosownie do art. 777 kodeksu postępowania cywilnego. Zapłata kar umownych zabezpieczona zostanie ponadto poprzez ustanowienie na nieruchomości hipoteki do wysokości kwoty 40 % ceny sprzedaży. Hipoteka zostanie zwolniona bezpośrednio po spełnieniu wszystkich kryteriów podanych w ofercie lub po upływie 10 lat od daty sprzedaży nieruchomości.</w:t>
      </w:r>
    </w:p>
    <w:p w14:paraId="2D9D143B" w14:textId="77777777" w:rsidR="00C7086D" w:rsidRDefault="00231E64" w:rsidP="00C7086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 Narrow" w:hAnsi="Arial Narrow"/>
          <w:sz w:val="24"/>
          <w:szCs w:val="24"/>
        </w:rPr>
      </w:pPr>
      <w:r w:rsidRPr="00857970">
        <w:rPr>
          <w:rFonts w:ascii="Arial Narrow" w:hAnsi="Arial Narrow"/>
          <w:sz w:val="24"/>
          <w:szCs w:val="24"/>
        </w:rPr>
        <w:t>Nabycie prawa użytkowania wieczystego nieruchomości związane jest z obowiązkiem uiszczania opłat rocznych z tytułu użytkowania wieczystego gruntu na rzecz właściciela (Skarb Państwa). Nabywca zobowiązany będzie do proporcjonalnego zwrotu części wniesionej opłaty za u</w:t>
      </w:r>
      <w:r w:rsidR="00D23057" w:rsidRPr="00857970">
        <w:rPr>
          <w:rFonts w:ascii="Arial Narrow" w:hAnsi="Arial Narrow"/>
          <w:sz w:val="24"/>
          <w:szCs w:val="24"/>
        </w:rPr>
        <w:t>żytkowanie wieczyste za 202</w:t>
      </w:r>
      <w:r w:rsidR="00546E14" w:rsidRPr="00857970">
        <w:rPr>
          <w:rFonts w:ascii="Arial Narrow" w:hAnsi="Arial Narrow"/>
          <w:sz w:val="24"/>
          <w:szCs w:val="24"/>
        </w:rPr>
        <w:t>3</w:t>
      </w:r>
      <w:r w:rsidR="001E2C59" w:rsidRPr="00857970">
        <w:rPr>
          <w:rFonts w:ascii="Arial Narrow" w:hAnsi="Arial Narrow"/>
          <w:sz w:val="24"/>
          <w:szCs w:val="24"/>
        </w:rPr>
        <w:t xml:space="preserve"> r</w:t>
      </w:r>
      <w:r w:rsidRPr="00857970">
        <w:rPr>
          <w:rFonts w:ascii="Arial Narrow" w:hAnsi="Arial Narrow"/>
          <w:sz w:val="24"/>
          <w:szCs w:val="24"/>
        </w:rPr>
        <w:t>. Obowiązek zwrotu obejmuje okres od dnia notarialnej umowy sprzedaży.</w:t>
      </w:r>
    </w:p>
    <w:p w14:paraId="35967607" w14:textId="7E1DE995" w:rsidR="00C7086D" w:rsidRPr="00C7086D" w:rsidRDefault="00C7086D" w:rsidP="00C7086D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 Narrow" w:hAnsi="Arial Narrow"/>
          <w:sz w:val="24"/>
          <w:szCs w:val="24"/>
        </w:rPr>
      </w:pPr>
      <w:r w:rsidRPr="00C7086D">
        <w:rPr>
          <w:rFonts w:ascii="Arial Narrow" w:eastAsia="Arial Narrow" w:hAnsi="Arial Narrow" w:cs="Arial Narrow"/>
          <w:color w:val="000000"/>
          <w:sz w:val="24"/>
          <w:szCs w:val="24"/>
          <w:lang w:eastAsia="pl-PL" w:bidi="pl-PL"/>
        </w:rPr>
        <w:t xml:space="preserve">Gmina Łapy zastrzega na swoją rzecz prawo odkupu nieruchomości, przez okres 5 lat od dnia sprzedaży, na wypadek niezagospodarowania nieruchomości przez Nabywcę zgodnie z przeznaczeniem określonym w miejscowym planie zagospodarowania przestrzennego w terminie do 31.12.2024 </w:t>
      </w:r>
      <w:proofErr w:type="gramStart"/>
      <w:r w:rsidRPr="00C7086D">
        <w:rPr>
          <w:rFonts w:ascii="Arial Narrow" w:eastAsia="Arial Narrow" w:hAnsi="Arial Narrow" w:cs="Arial Narrow"/>
          <w:color w:val="000000"/>
          <w:sz w:val="24"/>
          <w:szCs w:val="24"/>
          <w:lang w:eastAsia="pl-PL" w:bidi="pl-PL"/>
        </w:rPr>
        <w:t>r</w:t>
      </w:r>
      <w:proofErr w:type="gramEnd"/>
      <w:r w:rsidRPr="00C7086D">
        <w:rPr>
          <w:rFonts w:ascii="Arial Narrow" w:eastAsia="Arial Narrow" w:hAnsi="Arial Narrow" w:cs="Arial Narrow"/>
          <w:color w:val="000000"/>
          <w:sz w:val="24"/>
          <w:szCs w:val="24"/>
          <w:lang w:eastAsia="pl-PL" w:bidi="pl-PL"/>
        </w:rPr>
        <w:t>. Z chwilą wykonania prawa odkupu Nabywca obowiązany jest przenieść na Gminę Łapy prawo użytkowania wieczystego nieruchomości za zwrotem ceny jej zakupu. Prawo odkupu przysługujące Gminie Łapy zostanie zastrzeżone w umowie sprzedaży prawa użytkowania wieczystego nieruchomości. Prawo odkupu podlegać będzie ujawnieniu w księdze wieczystej urządzonej dla nieruchomości. Cena odkupu będzie odpowiadać cenie zapłaconej przez Nabywcę pomniejszonej o wartość obciążeń, w szczególności hipotek.</w:t>
      </w:r>
    </w:p>
    <w:p w14:paraId="4269FFF2" w14:textId="77777777" w:rsidR="00231E64" w:rsidRPr="00857970" w:rsidRDefault="00231E64" w:rsidP="00231E64">
      <w:pPr>
        <w:pStyle w:val="Teksttreci0"/>
        <w:numPr>
          <w:ilvl w:val="0"/>
          <w:numId w:val="1"/>
        </w:numPr>
        <w:shd w:val="clear" w:color="auto" w:fill="auto"/>
        <w:tabs>
          <w:tab w:val="left" w:pos="364"/>
        </w:tabs>
        <w:spacing w:after="260"/>
      </w:pPr>
      <w:r w:rsidRPr="00857970">
        <w:rPr>
          <w:shd w:val="clear" w:color="auto" w:fill="FFFFFF"/>
        </w:rPr>
        <w:t>Koszty notarialne i wieczysto-księgowe ponosi Nabywca.</w:t>
      </w:r>
    </w:p>
    <w:p w14:paraId="778CC672" w14:textId="77777777" w:rsidR="009262E5" w:rsidRPr="00857970" w:rsidRDefault="00CE6340" w:rsidP="00C7086D">
      <w:pPr>
        <w:pStyle w:val="Teksttreci0"/>
        <w:shd w:val="clear" w:color="auto" w:fill="auto"/>
        <w:jc w:val="both"/>
      </w:pPr>
      <w:r w:rsidRPr="00857970">
        <w:t>Załączniki:</w:t>
      </w:r>
    </w:p>
    <w:p w14:paraId="5D51DEEE" w14:textId="08EDDA01" w:rsidR="00C7086D" w:rsidRDefault="00C7086D" w:rsidP="00C7086D">
      <w:pPr>
        <w:pStyle w:val="Teksttreci0"/>
        <w:numPr>
          <w:ilvl w:val="0"/>
          <w:numId w:val="5"/>
        </w:numPr>
        <w:tabs>
          <w:tab w:val="left" w:pos="284"/>
        </w:tabs>
        <w:jc w:val="both"/>
      </w:pPr>
      <w:r>
        <w:t xml:space="preserve">Załącznik nr 1 – Sprawozdanie geotechniczne z ustalenia warunków gruntowych na działkach o nr 14/23, 14/24, 14/25 </w:t>
      </w:r>
    </w:p>
    <w:p w14:paraId="031349D0" w14:textId="6FA12088" w:rsidR="00C7086D" w:rsidRDefault="00C7086D" w:rsidP="00C7086D">
      <w:pPr>
        <w:pStyle w:val="Teksttreci0"/>
        <w:numPr>
          <w:ilvl w:val="0"/>
          <w:numId w:val="5"/>
        </w:numPr>
        <w:shd w:val="clear" w:color="auto" w:fill="auto"/>
        <w:tabs>
          <w:tab w:val="left" w:pos="284"/>
        </w:tabs>
        <w:jc w:val="both"/>
      </w:pPr>
      <w:r>
        <w:t>Załącznik nr 2 – wyciąg ze Sprawozdania geotechnicznego z punktowego rozpoznania warunków gruntowych w granicach działek o nr 211/5 i 14/22.</w:t>
      </w:r>
    </w:p>
    <w:p w14:paraId="6EA5F3F4" w14:textId="1F461B84" w:rsidR="009262E5" w:rsidRPr="00857970" w:rsidRDefault="00C7086D" w:rsidP="00C7086D">
      <w:pPr>
        <w:pStyle w:val="Teksttreci0"/>
        <w:numPr>
          <w:ilvl w:val="0"/>
          <w:numId w:val="5"/>
        </w:numPr>
        <w:shd w:val="clear" w:color="auto" w:fill="auto"/>
        <w:tabs>
          <w:tab w:val="left" w:pos="196"/>
        </w:tabs>
        <w:jc w:val="both"/>
      </w:pPr>
      <w:r>
        <w:t>Załącznik nr 3</w:t>
      </w:r>
      <w:r w:rsidR="00CE6340" w:rsidRPr="00857970">
        <w:t xml:space="preserve"> Oświadczenie o spełnianiu kryteriów MŚP</w:t>
      </w:r>
    </w:p>
    <w:p w14:paraId="6F8CD13F" w14:textId="5F9A507F" w:rsidR="009262E5" w:rsidRPr="00857970" w:rsidRDefault="00C7086D" w:rsidP="00C7086D">
      <w:pPr>
        <w:pStyle w:val="Teksttreci0"/>
        <w:numPr>
          <w:ilvl w:val="0"/>
          <w:numId w:val="5"/>
        </w:numPr>
        <w:shd w:val="clear" w:color="auto" w:fill="auto"/>
        <w:tabs>
          <w:tab w:val="left" w:pos="196"/>
        </w:tabs>
        <w:spacing w:after="260"/>
        <w:jc w:val="both"/>
      </w:pPr>
      <w:r>
        <w:t>Załącznik nr 4</w:t>
      </w:r>
      <w:r w:rsidR="00CE6340" w:rsidRPr="00857970">
        <w:t xml:space="preserve"> Wzór oferty</w:t>
      </w:r>
    </w:p>
    <w:p w14:paraId="0844569A" w14:textId="77777777" w:rsidR="009262E5" w:rsidRPr="00857970" w:rsidRDefault="009262E5">
      <w:pPr>
        <w:pStyle w:val="Teksttreci20"/>
        <w:shd w:val="clear" w:color="auto" w:fill="auto"/>
        <w:spacing w:after="260" w:line="240" w:lineRule="auto"/>
        <w:rPr>
          <w:sz w:val="24"/>
          <w:szCs w:val="24"/>
        </w:rPr>
      </w:pPr>
    </w:p>
    <w:sectPr w:rsidR="009262E5" w:rsidRPr="00857970">
      <w:footerReference w:type="default" r:id="rId8"/>
      <w:pgSz w:w="11900" w:h="16840"/>
      <w:pgMar w:top="1411" w:right="1530" w:bottom="2106" w:left="1207" w:header="98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95D7B" w14:textId="77777777" w:rsidR="00E73D90" w:rsidRDefault="00E73D90">
      <w:r>
        <w:separator/>
      </w:r>
    </w:p>
  </w:endnote>
  <w:endnote w:type="continuationSeparator" w:id="0">
    <w:p w14:paraId="18966305" w14:textId="77777777" w:rsidR="00E73D90" w:rsidRDefault="00E7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ED409" w14:textId="77777777" w:rsidR="009262E5" w:rsidRDefault="00CE634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91EBA6A" wp14:editId="6AE24919">
              <wp:simplePos x="0" y="0"/>
              <wp:positionH relativeFrom="page">
                <wp:posOffset>6523990</wp:posOffset>
              </wp:positionH>
              <wp:positionV relativeFrom="page">
                <wp:posOffset>9838690</wp:posOffset>
              </wp:positionV>
              <wp:extent cx="24130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1B470F" w14:textId="77777777" w:rsidR="009262E5" w:rsidRDefault="00CE6340">
                          <w:pPr>
                            <w:pStyle w:val="Nagweklubstopka20"/>
                            <w:shd w:val="clear" w:color="auto" w:fill="auto"/>
                          </w:pPr>
                          <w:r>
                            <w:rPr>
                              <w:rFonts w:ascii="Arial Narrow" w:eastAsia="Arial Narrow" w:hAnsi="Arial Narrow" w:cs="Arial Narrow"/>
                            </w:rP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Arial Narrow" w:eastAsia="Arial Narrow" w:hAnsi="Arial Narrow" w:cs="Arial Narrow"/>
                            </w:rPr>
                            <w:fldChar w:fldCharType="separate"/>
                          </w:r>
                          <w:r w:rsidR="00E443E6">
                            <w:rPr>
                              <w:rFonts w:ascii="Arial Narrow" w:eastAsia="Arial Narrow" w:hAnsi="Arial Narrow" w:cs="Arial Narrow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 Narrow" w:eastAsia="Arial Narrow" w:hAnsi="Arial Narrow" w:cs="Arial Narrow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13.7pt;margin-top:774.7pt;width:1.9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" filled="f" stroked="f">
              <v:textbox style="mso-fit-shape-to-text:t" inset="0,0,0,0">
                <w:txbxContent>
                  <w:p w14:paraId="061B470F" w14:textId="77777777" w:rsidR="009262E5" w:rsidRDefault="00CE6340">
                    <w:pPr>
                      <w:pStyle w:val="Nagweklubstopka20"/>
                      <w:shd w:val="clear" w:color="auto" w:fill="auto"/>
                    </w:pPr>
                    <w:r>
                      <w:rPr>
                        <w:rFonts w:ascii="Arial Narrow" w:eastAsia="Arial Narrow" w:hAnsi="Arial Narrow" w:cs="Arial Narrow"/>
                      </w:rP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</w:rPr>
                      <w:instrText xml:space="preserve"> PAGE \* MERGEFORMAT </w:instrText>
                    </w:r>
                    <w:r>
                      <w:rPr>
                        <w:rFonts w:ascii="Arial Narrow" w:eastAsia="Arial Narrow" w:hAnsi="Arial Narrow" w:cs="Arial Narrow"/>
                      </w:rPr>
                      <w:fldChar w:fldCharType="separate"/>
                    </w:r>
                    <w:r w:rsidR="00E443E6">
                      <w:rPr>
                        <w:rFonts w:ascii="Arial Narrow" w:eastAsia="Arial Narrow" w:hAnsi="Arial Narrow" w:cs="Arial Narrow"/>
                        <w:noProof/>
                      </w:rPr>
                      <w:t>1</w:t>
                    </w:r>
                    <w:r>
                      <w:rPr>
                        <w:rFonts w:ascii="Arial Narrow" w:eastAsia="Arial Narrow" w:hAnsi="Arial Narrow" w:cs="Arial Narro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85ED7" w14:textId="77777777" w:rsidR="00E73D90" w:rsidRDefault="00E73D90"/>
  </w:footnote>
  <w:footnote w:type="continuationSeparator" w:id="0">
    <w:p w14:paraId="0CAA31E2" w14:textId="77777777" w:rsidR="00E73D90" w:rsidRDefault="00E73D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5CE4"/>
    <w:multiLevelType w:val="multilevel"/>
    <w:tmpl w:val="E5B86724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D8494F"/>
    <w:multiLevelType w:val="multilevel"/>
    <w:tmpl w:val="59BAB8AE"/>
    <w:lvl w:ilvl="0">
      <w:start w:val="1"/>
      <w:numFmt w:val="bullet"/>
      <w:lvlText w:val="■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673B29"/>
    <w:multiLevelType w:val="multilevel"/>
    <w:tmpl w:val="85D6FCDC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EE4C4B"/>
    <w:multiLevelType w:val="multilevel"/>
    <w:tmpl w:val="1696CC7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07257B"/>
    <w:multiLevelType w:val="multilevel"/>
    <w:tmpl w:val="558E8C66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E72B59"/>
    <w:multiLevelType w:val="multilevel"/>
    <w:tmpl w:val="618A8902"/>
    <w:lvl w:ilvl="0">
      <w:start w:val="4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b w:val="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E5"/>
    <w:rsid w:val="00034841"/>
    <w:rsid w:val="000964A7"/>
    <w:rsid w:val="00135153"/>
    <w:rsid w:val="00137B21"/>
    <w:rsid w:val="001557EF"/>
    <w:rsid w:val="001E2C59"/>
    <w:rsid w:val="00212496"/>
    <w:rsid w:val="00231E64"/>
    <w:rsid w:val="00245061"/>
    <w:rsid w:val="00293566"/>
    <w:rsid w:val="00336FA0"/>
    <w:rsid w:val="00375B3B"/>
    <w:rsid w:val="003C1F1E"/>
    <w:rsid w:val="003E600B"/>
    <w:rsid w:val="00463512"/>
    <w:rsid w:val="004A59BB"/>
    <w:rsid w:val="00532175"/>
    <w:rsid w:val="00546E14"/>
    <w:rsid w:val="00556116"/>
    <w:rsid w:val="00611480"/>
    <w:rsid w:val="00857970"/>
    <w:rsid w:val="009262E5"/>
    <w:rsid w:val="009C2B2E"/>
    <w:rsid w:val="00AA4306"/>
    <w:rsid w:val="00AF7C4F"/>
    <w:rsid w:val="00C214C5"/>
    <w:rsid w:val="00C61D58"/>
    <w:rsid w:val="00C7086D"/>
    <w:rsid w:val="00CE6340"/>
    <w:rsid w:val="00D23057"/>
    <w:rsid w:val="00DC4774"/>
    <w:rsid w:val="00E14EC9"/>
    <w:rsid w:val="00E209B9"/>
    <w:rsid w:val="00E2631A"/>
    <w:rsid w:val="00E443E6"/>
    <w:rsid w:val="00E5446A"/>
    <w:rsid w:val="00E73D90"/>
    <w:rsid w:val="00F24261"/>
    <w:rsid w:val="00FA0042"/>
    <w:rsid w:val="00FA2314"/>
    <w:rsid w:val="00FD4A1C"/>
    <w:rsid w:val="00FE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8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D64E5E"/>
      <w:sz w:val="32"/>
      <w:szCs w:val="3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64E5E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Arial Narrow" w:eastAsia="Arial Narrow" w:hAnsi="Arial Narrow" w:cs="Arial Narrow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560"/>
      <w:jc w:val="center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62" w:lineRule="auto"/>
      <w:ind w:firstLine="380"/>
    </w:pPr>
    <w:rPr>
      <w:rFonts w:ascii="Arial Narrow" w:eastAsia="Arial Narrow" w:hAnsi="Arial Narrow" w:cs="Arial Narrow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199" w:lineRule="auto"/>
      <w:jc w:val="center"/>
      <w:outlineLvl w:val="0"/>
    </w:pPr>
    <w:rPr>
      <w:rFonts w:ascii="Century Schoolbook" w:eastAsia="Century Schoolbook" w:hAnsi="Century Schoolbook" w:cs="Century Schoolbook"/>
      <w:smallCaps/>
      <w:color w:val="D64E5E"/>
      <w:sz w:val="32"/>
      <w:szCs w:val="3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30" w:line="218" w:lineRule="auto"/>
      <w:jc w:val="center"/>
    </w:pPr>
    <w:rPr>
      <w:rFonts w:ascii="Times New Roman" w:eastAsia="Times New Roman" w:hAnsi="Times New Roman" w:cs="Times New Roman"/>
      <w:color w:val="D64E5E"/>
      <w:sz w:val="20"/>
      <w:szCs w:val="20"/>
    </w:rPr>
  </w:style>
  <w:style w:type="paragraph" w:styleId="Akapitzlist">
    <w:name w:val="List Paragraph"/>
    <w:basedOn w:val="Normalny"/>
    <w:qFormat/>
    <w:rsid w:val="00375B3B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entury Schoolbook" w:eastAsia="Century Schoolbook" w:hAnsi="Century Schoolbook" w:cs="Century Schoolbook"/>
      <w:b w:val="0"/>
      <w:bCs w:val="0"/>
      <w:i w:val="0"/>
      <w:iCs w:val="0"/>
      <w:smallCaps/>
      <w:strike w:val="0"/>
      <w:color w:val="D64E5E"/>
      <w:sz w:val="32"/>
      <w:szCs w:val="3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D64E5E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</w:pPr>
    <w:rPr>
      <w:rFonts w:ascii="Arial Narrow" w:eastAsia="Arial Narrow" w:hAnsi="Arial Narrow" w:cs="Arial Narrow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560"/>
      <w:jc w:val="center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62" w:lineRule="auto"/>
      <w:ind w:firstLine="380"/>
    </w:pPr>
    <w:rPr>
      <w:rFonts w:ascii="Arial Narrow" w:eastAsia="Arial Narrow" w:hAnsi="Arial Narrow" w:cs="Arial Narrow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199" w:lineRule="auto"/>
      <w:jc w:val="center"/>
      <w:outlineLvl w:val="0"/>
    </w:pPr>
    <w:rPr>
      <w:rFonts w:ascii="Century Schoolbook" w:eastAsia="Century Schoolbook" w:hAnsi="Century Schoolbook" w:cs="Century Schoolbook"/>
      <w:smallCaps/>
      <w:color w:val="D64E5E"/>
      <w:sz w:val="32"/>
      <w:szCs w:val="3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30" w:line="218" w:lineRule="auto"/>
      <w:jc w:val="center"/>
    </w:pPr>
    <w:rPr>
      <w:rFonts w:ascii="Times New Roman" w:eastAsia="Times New Roman" w:hAnsi="Times New Roman" w:cs="Times New Roman"/>
      <w:color w:val="D64E5E"/>
      <w:sz w:val="20"/>
      <w:szCs w:val="20"/>
    </w:rPr>
  </w:style>
  <w:style w:type="paragraph" w:styleId="Akapitzlist">
    <w:name w:val="List Paragraph"/>
    <w:basedOn w:val="Normalny"/>
    <w:qFormat/>
    <w:rsid w:val="00375B3B"/>
    <w:pPr>
      <w:widowControl/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Pietraszko</dc:creator>
  <cp:lastModifiedBy>Magda</cp:lastModifiedBy>
  <cp:revision>2</cp:revision>
  <cp:lastPrinted>2022-12-15T09:14:00Z</cp:lastPrinted>
  <dcterms:created xsi:type="dcterms:W3CDTF">2022-12-27T11:01:00Z</dcterms:created>
  <dcterms:modified xsi:type="dcterms:W3CDTF">2022-12-27T11:01:00Z</dcterms:modified>
</cp:coreProperties>
</file>